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內文 A"/>
        <w:jc w:val="center"/>
        <w:rPr>
          <w:u w:val="single"/>
        </w:rPr>
      </w:pPr>
      <w:r>
        <w:rPr>
          <w:sz w:val="40"/>
          <w:szCs w:val="40"/>
          <w:rtl w:val="0"/>
        </w:rPr>
        <w:br w:type="textWrapping"/>
      </w:r>
      <w:r>
        <w:rPr>
          <w:rFonts w:ascii="Times New Roman Bold"/>
          <w:sz w:val="28"/>
          <w:szCs w:val="28"/>
          <w:rtl w:val="0"/>
          <w:lang w:val="en-US"/>
        </w:rPr>
        <w:t>HONG KONG AIR CADET CORPS</w:t>
      </w:r>
      <w:r>
        <w:rPr>
          <w:rFonts w:ascii="Times New Roman Bold" w:cs="Times New Roman Bold" w:hAnsi="Times New Roman Bold" w:eastAsia="Times New Roman Bold"/>
          <w:sz w:val="28"/>
          <w:szCs w:val="28"/>
          <w:rtl w:val="0"/>
        </w:rPr>
        <w:br w:type="textWrapping"/>
      </w:r>
      <w:r>
        <w:rPr>
          <w:u w:val="single"/>
          <w:rtl w:val="0"/>
          <w:lang w:val="en-US"/>
        </w:rPr>
        <w:t>TRAINING GROUP</w:t>
      </w:r>
    </w:p>
    <w:p>
      <w:pPr>
        <w:pStyle w:val="內文 A"/>
        <w:jc w:val="center"/>
        <w:rPr>
          <w:u w:val="single"/>
        </w:rPr>
      </w:pPr>
      <w:r>
        <w:rPr>
          <w:u w:val="single"/>
          <w:rtl w:val="0"/>
          <w:lang w:val="en-US"/>
        </w:rPr>
        <w:t>MEMO</w:t>
      </w:r>
      <w:r>
        <w:rPr>
          <w:u w:val="single"/>
          <w:rtl w:val="0"/>
        </w:rPr>
        <w:br w:type="textWrapping"/>
      </w:r>
    </w:p>
    <w:p>
      <w:pPr>
        <w:pStyle w:val="內文 A"/>
        <w:ind w:left="480" w:firstLine="480"/>
      </w:pPr>
      <w:r>
        <w:rPr>
          <w:sz w:val="32"/>
          <w:szCs w:val="32"/>
          <w:rtl w:val="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line">
                  <wp:posOffset>13963</wp:posOffset>
                </wp:positionV>
                <wp:extent cx="636" cy="4318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" cy="4318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227.6pt;margin-top:1.1pt;width:0.1pt;height:34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tl w:val="0"/>
          <w:lang w:val="en-US"/>
        </w:rPr>
        <w:t>From</w:t>
        <w:tab/>
        <w:t>: DCO Trg</w:t>
        <w:tab/>
        <w:tab/>
        <w:tab/>
        <w:tab/>
        <w:t xml:space="preserve">  To</w:t>
        <w:tab/>
        <w:t>: All OC Units,</w:t>
      </w:r>
    </w:p>
    <w:p>
      <w:pPr>
        <w:pStyle w:val="內文 A"/>
        <w:ind w:left="480" w:firstLine="480"/>
      </w:pPr>
      <w:r>
        <w:rPr>
          <w:rtl w:val="0"/>
          <w:lang w:val="en-US"/>
        </w:rPr>
        <w:t>Ref</w:t>
        <w:tab/>
        <w:tab/>
        <w:t>: TRG/PLA/01</w:t>
        <w:tab/>
        <w:tab/>
        <w:tab/>
        <w:tab/>
        <w:tab/>
        <w:t xml:space="preserve">     Major Unit Commanders</w:t>
      </w:r>
    </w:p>
    <w:p>
      <w:pPr>
        <w:pStyle w:val="內文 A"/>
        <w:ind w:left="480" w:firstLine="480"/>
      </w:pPr>
      <w:r>
        <w:rPr>
          <w:rtl w:val="0"/>
          <w:lang w:val="en-US"/>
        </w:rPr>
        <w:t>Date</w:t>
        <w:tab/>
        <w:tab/>
        <w:t>: 2</w:t>
      </w:r>
      <w:r>
        <w:rPr>
          <w:rtl w:val="0"/>
          <w:lang w:val="en-US"/>
        </w:rPr>
        <w:t xml:space="preserve">6 </w:t>
      </w:r>
      <w:r>
        <w:rPr>
          <w:rtl w:val="0"/>
          <w:lang w:val="en-US"/>
        </w:rPr>
        <w:t>June 2014</w:t>
        <w:tab/>
        <w:tab/>
        <w:tab/>
        <w:t xml:space="preserve">  </w:t>
        <w:tab/>
        <w:tab/>
        <w:tab/>
        <w:t xml:space="preserve"> </w:t>
      </w:r>
    </w:p>
    <w:p>
      <w:pPr>
        <w:pStyle w:val="頁首"/>
        <w:rPr>
          <w:sz w:val="24"/>
          <w:szCs w:val="24"/>
        </w:rPr>
      </w:pPr>
    </w:p>
    <w:p>
      <w:pPr>
        <w:pStyle w:val="頁首"/>
        <w:rPr>
          <w:sz w:val="24"/>
          <w:szCs w:val="24"/>
        </w:rPr>
      </w:pPr>
    </w:p>
    <w:p>
      <w:pPr>
        <w:pStyle w:val="內文 A"/>
        <w:jc w:val="center"/>
        <w:rPr>
          <w:rFonts w:ascii="Times New Roman Bold" w:cs="Times New Roman Bold" w:hAnsi="Times New Roman Bold" w:eastAsia="Times New Roman Bold"/>
          <w:color w:val="000000"/>
          <w:u w:val="single" w:color="000000"/>
        </w:rPr>
      </w:pPr>
      <w:r>
        <w:rPr>
          <w:rFonts w:ascii="Times New Roman Bold"/>
          <w:u w:val="single"/>
          <w:rtl w:val="0"/>
          <w:lang w:val="en-US"/>
        </w:rPr>
        <w:t>People</w:t>
      </w:r>
      <w:r>
        <w:rPr>
          <w:rFonts w:hAnsi="Arial Unicode MS" w:hint="default"/>
          <w:u w:val="single"/>
          <w:rtl w:val="0"/>
          <w:lang w:val="en-US"/>
        </w:rPr>
        <w:t>’</w:t>
      </w:r>
      <w:r>
        <w:rPr>
          <w:rFonts w:ascii="Times New Roman Bold"/>
          <w:u w:val="single"/>
          <w:rtl w:val="0"/>
          <w:lang w:val="en-US"/>
        </w:rPr>
        <w:t>s Liberation Army Hong Kong Garrison Open Day</w:t>
      </w:r>
    </w:p>
    <w:p>
      <w:pPr>
        <w:pStyle w:val="內文 A"/>
        <w:jc w:val="both"/>
        <w:rPr>
          <w:rFonts w:ascii="Arial Bold" w:cs="Arial Bold" w:hAnsi="Arial Bold" w:eastAsia="Arial Bold"/>
          <w:color w:val="000000"/>
          <w:u w:val="single" w:color="000000"/>
        </w:rPr>
      </w:pPr>
    </w:p>
    <w:p>
      <w:pPr>
        <w:pStyle w:val="內文 A"/>
        <w:ind w:left="2" w:firstLine="478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The People</w:t>
      </w:r>
      <w:r>
        <w:rPr>
          <w:color w:val="000000"/>
          <w:u w:color="000000"/>
          <w:rtl w:val="0"/>
          <w:lang w:val="en-US"/>
        </w:rPr>
        <w:t>’</w:t>
      </w:r>
      <w:r>
        <w:rPr>
          <w:color w:val="000000"/>
          <w:u w:color="000000"/>
          <w:rtl w:val="0"/>
          <w:lang w:val="en-US"/>
        </w:rPr>
        <w:t xml:space="preserve">s Liberation Army Hong Kong Garrison Barracks will be opened to the public on 29 June and 1 July 2014. During the days, different events will be held, such as flag raising ceremony, military band performance, laser combat simulation training experience, military equipment and weapons display, cultural event </w:t>
      </w:r>
      <w:r>
        <w:rPr>
          <w:color w:val="000000"/>
          <w:u w:color="000000"/>
          <w:rtl w:val="0"/>
          <w:lang w:val="en-US"/>
        </w:rPr>
        <w:t>centre</w:t>
      </w:r>
      <w:r>
        <w:rPr>
          <w:color w:val="000000"/>
          <w:u w:color="000000"/>
          <w:rtl w:val="0"/>
          <w:lang w:val="en-US"/>
        </w:rPr>
        <w:t xml:space="preserve"> visit, pastry making and so on.</w:t>
      </w:r>
    </w:p>
    <w:p>
      <w:pPr>
        <w:pStyle w:val="內文 A"/>
        <w:ind w:left="2" w:firstLine="238"/>
        <w:jc w:val="both"/>
        <w:rPr>
          <w:color w:val="000000"/>
          <w:u w:color="000000"/>
        </w:rPr>
      </w:pPr>
    </w:p>
    <w:p>
      <w:pPr>
        <w:pStyle w:val="內文 A"/>
        <w:ind w:left="2" w:firstLine="0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2.</w:t>
        <w:tab/>
        <w:t>We are pleased to announce that there are free tickets for our members. Please find the details as follows:</w:t>
      </w:r>
    </w:p>
    <w:p>
      <w:pPr>
        <w:pStyle w:val="內文 A"/>
        <w:ind w:left="2" w:firstLine="0"/>
        <w:jc w:val="both"/>
        <w:rPr>
          <w:color w:val="000000"/>
          <w:u w:color="000000"/>
        </w:rPr>
      </w:pPr>
    </w:p>
    <w:tbl>
      <w:tblPr>
        <w:tblW w:w="9064" w:type="dxa"/>
        <w:jc w:val="left"/>
        <w:tblInd w:w="490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368"/>
        <w:gridCol w:w="3367"/>
        <w:gridCol w:w="2329"/>
      </w:tblGrid>
      <w:tr>
        <w:tblPrEx>
          <w:shd w:val="clear" w:color="auto" w:fill="auto"/>
        </w:tblPrEx>
        <w:trPr>
          <w:trHeight w:val="300" w:hRule="atLeast"/>
        </w:trPr>
        <w:tc>
          <w:tcPr>
            <w:tcW w:type="dxa" w:w="3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 A"/>
              <w:jc w:val="center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Barracks</w:t>
            </w:r>
          </w:p>
        </w:tc>
        <w:tc>
          <w:tcPr>
            <w:tcW w:type="dxa" w:w="33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 A"/>
              <w:jc w:val="center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Date and Time</w:t>
            </w:r>
          </w:p>
        </w:tc>
        <w:tc>
          <w:tcPr>
            <w:tcW w:type="dxa" w:w="2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 A"/>
              <w:jc w:val="center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Number of Tickets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3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 A"/>
              <w:jc w:val="both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Stonecutters Island Barracks</w:t>
            </w:r>
          </w:p>
        </w:tc>
        <w:tc>
          <w:tcPr>
            <w:tcW w:type="dxa" w:w="33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 A"/>
              <w:jc w:val="both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 July (Tue), 1030-1600</w:t>
            </w:r>
          </w:p>
        </w:tc>
        <w:tc>
          <w:tcPr>
            <w:tcW w:type="dxa" w:w="2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 A"/>
              <w:jc w:val="both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11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3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 A"/>
              <w:jc w:val="both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ek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Kong Barracks</w:t>
            </w:r>
          </w:p>
        </w:tc>
        <w:tc>
          <w:tcPr>
            <w:tcW w:type="dxa" w:w="33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 A"/>
              <w:jc w:val="both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29 June (Sun), 1000-1400</w:t>
            </w:r>
          </w:p>
        </w:tc>
        <w:tc>
          <w:tcPr>
            <w:tcW w:type="dxa" w:w="2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 A"/>
              <w:jc w:val="both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15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3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 A"/>
              <w:jc w:val="both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San Wai Barracks</w:t>
            </w:r>
          </w:p>
        </w:tc>
        <w:tc>
          <w:tcPr>
            <w:tcW w:type="dxa" w:w="33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 A"/>
              <w:jc w:val="both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29 June (Sun), 1430-1700</w:t>
            </w:r>
          </w:p>
        </w:tc>
        <w:tc>
          <w:tcPr>
            <w:tcW w:type="dxa" w:w="2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 A"/>
              <w:jc w:val="both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15</w:t>
            </w:r>
          </w:p>
        </w:tc>
      </w:tr>
    </w:tbl>
    <w:p>
      <w:pPr>
        <w:pStyle w:val="內文 A"/>
        <w:ind w:left="382" w:hanging="380"/>
        <w:jc w:val="both"/>
        <w:rPr>
          <w:color w:val="000000"/>
          <w:u w:color="000000"/>
        </w:rPr>
      </w:pPr>
    </w:p>
    <w:p>
      <w:pPr>
        <w:pStyle w:val="內文 A"/>
        <w:ind w:left="2" w:firstLine="0"/>
        <w:jc w:val="both"/>
        <w:rPr>
          <w:color w:val="000000"/>
          <w:u w:color="000000"/>
        </w:rPr>
      </w:pPr>
    </w:p>
    <w:p>
      <w:pPr>
        <w:pStyle w:val="內文 A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3.</w:t>
        <w:tab/>
        <w:t xml:space="preserve">You may </w:t>
      </w:r>
      <w:r>
        <w:rPr>
          <w:color w:val="000000"/>
          <w:u w:color="000000"/>
          <w:rtl w:val="0"/>
          <w:lang w:val="en-US"/>
        </w:rPr>
        <w:t>approach HQ staff, Mr. Bobby Leung for ticket collection</w:t>
      </w:r>
      <w:r>
        <w:rPr>
          <w:color w:val="000000"/>
          <w:u w:color="000000"/>
          <w:rtl w:val="0"/>
          <w:lang w:val="en-US"/>
        </w:rPr>
        <w:t xml:space="preserve"> on first come, first served basis. </w:t>
      </w:r>
    </w:p>
    <w:p>
      <w:pPr>
        <w:pStyle w:val="內文 A"/>
        <w:jc w:val="both"/>
        <w:rPr>
          <w:color w:val="000000"/>
          <w:u w:color="000000"/>
        </w:rPr>
      </w:pPr>
    </w:p>
    <w:p>
      <w:pPr>
        <w:pStyle w:val="內文 A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4.</w:t>
        <w:tab/>
        <w:t xml:space="preserve">Should you have any queries, please feel free to contact the undersigned at </w:t>
      </w:r>
      <w:hyperlink r:id="rId4" w:history="1">
        <w:r>
          <w:rPr>
            <w:rStyle w:val="Hyperlink.0"/>
            <w:color w:val="0000ff"/>
            <w:u w:val="single" w:color="0000ff"/>
            <w:rtl w:val="0"/>
            <w:lang w:val="en-US"/>
          </w:rPr>
          <w:t>ivanhkatc@yahoo.com</w:t>
        </w:r>
      </w:hyperlink>
      <w:r>
        <w:rPr>
          <w:color w:val="000000"/>
          <w:u w:color="000000"/>
          <w:rtl w:val="0"/>
          <w:lang w:val="en-US"/>
        </w:rPr>
        <w:t xml:space="preserve"> </w:t>
      </w:r>
      <w:r>
        <w:rPr>
          <w:color w:val="000000"/>
          <w:u w:color="000000"/>
          <w:rtl w:val="0"/>
          <w:lang w:val="en-US"/>
        </w:rPr>
        <w:t>or hq@aircadets.org.hk</w:t>
      </w:r>
    </w:p>
    <w:p>
      <w:pPr>
        <w:pStyle w:val="內文 A"/>
        <w:ind w:left="1080" w:firstLine="0"/>
        <w:jc w:val="both"/>
        <w:rPr>
          <w:color w:val="000000"/>
          <w:u w:color="000000"/>
        </w:rPr>
      </w:pPr>
    </w:p>
    <w:p>
      <w:pPr>
        <w:pStyle w:val="內文 A"/>
        <w:ind w:left="1080" w:firstLine="0"/>
        <w:jc w:val="both"/>
        <w:rPr>
          <w:rFonts w:ascii="Times New Roman Bold" w:cs="Times New Roman Bold" w:hAnsi="Times New Roman Bold" w:eastAsia="Times New Roman Bold"/>
          <w:color w:val="000000"/>
          <w:u w:color="000000"/>
        </w:rPr>
      </w:pPr>
      <w:r>
        <w:rPr>
          <w:color w:val="000000"/>
          <w:u w:color="000000"/>
          <w:rtl w:val="0"/>
        </w:rPr>
        <w:tab/>
        <w:tab/>
        <w:tab/>
        <w:tab/>
        <w:tab/>
        <w:tab/>
        <w:tab/>
        <w:tab/>
        <w:tab/>
        <w:tab/>
        <w:tab/>
      </w:r>
      <w:r>
        <w:rPr>
          <w:rFonts w:ascii="Times New Roman Bold"/>
          <w:color w:val="000000"/>
          <w:u w:color="000000"/>
          <w:rtl w:val="0"/>
          <w:lang w:val="en-US"/>
        </w:rPr>
        <w:t xml:space="preserve">  </w:t>
      </w:r>
    </w:p>
    <w:p>
      <w:pPr>
        <w:pStyle w:val="內文 A"/>
        <w:ind w:left="5760" w:firstLine="720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Ivan CHAN</w:t>
      </w:r>
    </w:p>
    <w:p>
      <w:pPr>
        <w:pStyle w:val="內文 A"/>
        <w:ind w:left="5760" w:firstLine="720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Wg Cdr</w:t>
      </w:r>
    </w:p>
    <w:p>
      <w:pPr>
        <w:pStyle w:val="內文 A"/>
        <w:ind w:left="5760" w:firstLine="720"/>
        <w:jc w:val="both"/>
        <w:rPr>
          <w:color w:val="000000"/>
          <w:sz w:val="22"/>
          <w:szCs w:val="22"/>
          <w:u w:color="000000"/>
        </w:rPr>
      </w:pPr>
      <w:r>
        <w:rPr>
          <w:color w:val="000000"/>
          <w:u w:color="000000"/>
          <w:rtl w:val="0"/>
          <w:lang w:val="en-US"/>
        </w:rPr>
        <w:t>DCO Trg</w:t>
      </w:r>
    </w:p>
    <w:p>
      <w:pPr>
        <w:pStyle w:val="內文 A"/>
        <w:spacing w:line="200" w:lineRule="exact"/>
        <w:ind w:firstLine="360"/>
        <w:jc w:val="both"/>
      </w:pPr>
      <w:r>
        <w:rPr>
          <w:rFonts w:ascii="Arial" w:cs="Arial" w:hAnsi="Arial" w:eastAsia="Arial"/>
          <w:color w:val="000000"/>
          <w:sz w:val="20"/>
          <w:szCs w:val="20"/>
          <w:u w:color="000000"/>
        </w:rPr>
      </w:r>
    </w:p>
    <w:sectPr>
      <w:headerReference w:type="default" r:id="rId5"/>
      <w:footerReference w:type="default" r:id="rId6"/>
      <w:pgSz w:w="11900" w:h="16840" w:orient="portrait"/>
      <w:pgMar w:top="426" w:right="1418" w:bottom="284" w:left="1418" w:header="720" w:footer="11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  <w:font w:name="Arial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頁尾"/>
      <w:tabs>
        <w:tab w:val="center" w:pos="1614"/>
        <w:tab w:val="right" w:pos="1844"/>
        <w:tab w:val="clear" w:pos="4153"/>
        <w:tab w:val="clear" w:pos="8306"/>
      </w:tabs>
      <w:ind w:right="36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頁首與頁尾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6583044</wp:posOffset>
              </wp:positionH>
              <wp:positionV relativeFrom="page">
                <wp:posOffset>10393680</wp:posOffset>
              </wp:positionV>
              <wp:extent cx="76200" cy="174625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頁尾"/>
                          </w:pPr>
                          <w:r>
                            <w:rPr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tl w:val="0"/>
                            </w:rPr>
                            <w:t xml:space="preserve"> PAGE </w:t>
                          </w:r>
                          <w:r>
                            <w:rPr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tl w:val="0"/>
                            </w:rPr>
                            <w:t>1</w:t>
                          </w:r>
                          <w:r>
                            <w:rPr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518.3pt;margin-top:818.4pt;width:6.0pt;height:13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頁尾"/>
                    </w:pPr>
                    <w:r>
                      <w:rPr>
                        <w:rtl w:val="0"/>
                      </w:rPr>
                      <w:fldChar w:fldCharType="begin" w:fldLock="0"/>
                    </w:r>
                    <w:r>
                      <w:rPr>
                        <w:rtl w:val="0"/>
                      </w:rPr>
                      <w:t xml:space="preserve"> PAGE </w:t>
                    </w:r>
                    <w:r>
                      <w:rPr>
                        <w:rtl w:val="0"/>
                      </w:rPr>
                      <w:fldChar w:fldCharType="separate" w:fldLock="0"/>
                    </w:r>
                    <w:r>
                      <w:rPr>
                        <w:rtl w:val="0"/>
                      </w:rPr>
                      <w:t>1</w:t>
                    </w:r>
                    <w:r>
                      <w:rPr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8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頁首與頁尾">
    <w:name w:val="頁首與頁尾"/>
    <w:next w:val="頁首與頁尾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頁尾">
    <w:name w:val="頁尾"/>
    <w:next w:val="頁尾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0"/>
      <w:szCs w:val="20"/>
      <w:u w:val="none" w:color="000000"/>
      <w:vertAlign w:val="baseline"/>
      <w:lang w:val="en-US"/>
    </w:rPr>
  </w:style>
  <w:style w:type="paragraph" w:styleId="內文 A">
    <w:name w:val="內文 A"/>
    <w:next w:val="內文 A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/>
    </w:rPr>
  </w:style>
  <w:style w:type="paragraph" w:styleId="頁首">
    <w:name w:val="頁首"/>
    <w:next w:val="頁首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0"/>
      <w:szCs w:val="20"/>
      <w:u w:val="none" w:color="000000"/>
      <w:vertAlign w:val="baseline"/>
      <w:lang w:val="en-US"/>
    </w:rPr>
  </w:style>
  <w:style w:type="character" w:styleId="頁碼">
    <w:name w:val="頁碼"/>
  </w:style>
  <w:style w:type="character" w:styleId="Hyperlink.0">
    <w:name w:val="Hyperlink.0"/>
    <w:basedOn w:val="頁碼"/>
    <w:next w:val="Hyperlink.0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ivanhkatc@yahoo.com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